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95" w:rsidRPr="002D45FC" w:rsidRDefault="002D45FC" w:rsidP="002D45FC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-466725</wp:posOffset>
            </wp:positionV>
            <wp:extent cx="1371600" cy="685800"/>
            <wp:effectExtent l="19050" t="0" r="0" b="0"/>
            <wp:wrapNone/>
            <wp:docPr id="2" name="Picture 2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695" w:rsidRPr="00CE5695" w:rsidRDefault="00CE5695" w:rsidP="00CE5695">
      <w:pPr>
        <w:pStyle w:val="NoSpacing"/>
        <w:jc w:val="center"/>
        <w:rPr>
          <w:b/>
          <w:sz w:val="28"/>
          <w:szCs w:val="28"/>
          <w:u w:val="single"/>
        </w:rPr>
      </w:pPr>
      <w:r w:rsidRPr="00CE5695">
        <w:rPr>
          <w:b/>
          <w:sz w:val="28"/>
          <w:szCs w:val="28"/>
          <w:u w:val="single"/>
        </w:rPr>
        <w:t>Work First New Jersey</w:t>
      </w:r>
    </w:p>
    <w:p w:rsidR="00CE5695" w:rsidRDefault="00CE5695" w:rsidP="00CE5695">
      <w:pPr>
        <w:pStyle w:val="NoSpacing"/>
        <w:jc w:val="center"/>
        <w:rPr>
          <w:b/>
          <w:sz w:val="28"/>
          <w:szCs w:val="28"/>
          <w:u w:val="single"/>
        </w:rPr>
      </w:pPr>
      <w:r w:rsidRPr="00CE5695">
        <w:rPr>
          <w:b/>
          <w:sz w:val="28"/>
          <w:szCs w:val="28"/>
          <w:u w:val="single"/>
        </w:rPr>
        <w:t>Substance Abuse/Behavioral Health</w:t>
      </w:r>
      <w:r>
        <w:rPr>
          <w:b/>
          <w:sz w:val="28"/>
          <w:szCs w:val="28"/>
          <w:u w:val="single"/>
        </w:rPr>
        <w:t xml:space="preserve"> (WFNJ SAI/BHI)</w:t>
      </w:r>
    </w:p>
    <w:p w:rsidR="00CE5695" w:rsidRPr="00CE5695" w:rsidRDefault="00CE5695" w:rsidP="00CE5695">
      <w:pPr>
        <w:pStyle w:val="NoSpacing"/>
        <w:jc w:val="center"/>
        <w:rPr>
          <w:b/>
          <w:sz w:val="28"/>
          <w:szCs w:val="28"/>
          <w:u w:val="single"/>
        </w:rPr>
      </w:pPr>
    </w:p>
    <w:p w:rsidR="00CE5695" w:rsidRDefault="00CE5695" w:rsidP="00CE5695">
      <w:pPr>
        <w:jc w:val="center"/>
        <w:rPr>
          <w:b/>
          <w:sz w:val="28"/>
          <w:szCs w:val="28"/>
          <w:u w:val="single"/>
        </w:rPr>
      </w:pPr>
      <w:r w:rsidRPr="00CE5695">
        <w:rPr>
          <w:b/>
          <w:sz w:val="28"/>
          <w:szCs w:val="28"/>
          <w:u w:val="single"/>
        </w:rPr>
        <w:t>PSYCHIATRIC EVALUATION AND MEDICATION MONITORING POLICY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>Psychiatric</w:t>
      </w:r>
      <w:r w:rsidRPr="002C6BA8">
        <w:rPr>
          <w:spacing w:val="-2"/>
          <w:sz w:val="24"/>
          <w:szCs w:val="24"/>
        </w:rPr>
        <w:t xml:space="preserve"> </w:t>
      </w:r>
      <w:r w:rsidRPr="002C6BA8">
        <w:rPr>
          <w:sz w:val="24"/>
          <w:szCs w:val="24"/>
        </w:rPr>
        <w:t>Evaluation</w:t>
      </w:r>
      <w:r w:rsidRPr="002C6BA8">
        <w:rPr>
          <w:spacing w:val="-7"/>
          <w:sz w:val="24"/>
          <w:szCs w:val="24"/>
        </w:rPr>
        <w:t xml:space="preserve"> </w:t>
      </w:r>
      <w:r w:rsidRPr="002C6BA8">
        <w:rPr>
          <w:sz w:val="24"/>
          <w:szCs w:val="24"/>
        </w:rPr>
        <w:t>is</w:t>
      </w:r>
      <w:r w:rsidRPr="002C6BA8">
        <w:rPr>
          <w:spacing w:val="-12"/>
          <w:sz w:val="24"/>
          <w:szCs w:val="24"/>
        </w:rPr>
        <w:t xml:space="preserve"> </w:t>
      </w:r>
      <w:r w:rsidRPr="002C6BA8">
        <w:rPr>
          <w:sz w:val="24"/>
          <w:szCs w:val="24"/>
        </w:rPr>
        <w:t>provided</w:t>
      </w:r>
      <w:r w:rsidRPr="002C6BA8">
        <w:rPr>
          <w:spacing w:val="-1"/>
          <w:sz w:val="24"/>
          <w:szCs w:val="24"/>
        </w:rPr>
        <w:t xml:space="preserve"> </w:t>
      </w:r>
      <w:r w:rsidRPr="002C6BA8">
        <w:rPr>
          <w:sz w:val="24"/>
          <w:szCs w:val="24"/>
        </w:rPr>
        <w:t>by: MD</w:t>
      </w:r>
      <w:r w:rsidRPr="002C6BA8">
        <w:rPr>
          <w:spacing w:val="-20"/>
          <w:sz w:val="24"/>
          <w:szCs w:val="24"/>
        </w:rPr>
        <w:t xml:space="preserve"> </w:t>
      </w:r>
      <w:r w:rsidRPr="002C6BA8">
        <w:rPr>
          <w:sz w:val="24"/>
          <w:szCs w:val="24"/>
        </w:rPr>
        <w:t>or</w:t>
      </w:r>
      <w:r w:rsidRPr="002C6BA8">
        <w:rPr>
          <w:spacing w:val="4"/>
          <w:sz w:val="24"/>
          <w:szCs w:val="24"/>
        </w:rPr>
        <w:t xml:space="preserve"> </w:t>
      </w:r>
      <w:r w:rsidRPr="002C6BA8">
        <w:rPr>
          <w:sz w:val="24"/>
          <w:szCs w:val="24"/>
        </w:rPr>
        <w:t>DO</w:t>
      </w:r>
      <w:r w:rsidRPr="002C6BA8">
        <w:rPr>
          <w:spacing w:val="-13"/>
          <w:sz w:val="24"/>
          <w:szCs w:val="24"/>
        </w:rPr>
        <w:t xml:space="preserve"> </w:t>
      </w:r>
      <w:r w:rsidRPr="002C6BA8">
        <w:rPr>
          <w:sz w:val="24"/>
          <w:szCs w:val="24"/>
        </w:rPr>
        <w:t>Certified in</w:t>
      </w:r>
      <w:r w:rsidRPr="002C6BA8">
        <w:rPr>
          <w:spacing w:val="-17"/>
          <w:sz w:val="24"/>
          <w:szCs w:val="24"/>
        </w:rPr>
        <w:t xml:space="preserve"> </w:t>
      </w:r>
      <w:r w:rsidRPr="002C6BA8">
        <w:rPr>
          <w:sz w:val="24"/>
          <w:szCs w:val="24"/>
        </w:rPr>
        <w:t>Addiction</w:t>
      </w:r>
      <w:r w:rsidRPr="002C6BA8">
        <w:rPr>
          <w:spacing w:val="10"/>
          <w:sz w:val="24"/>
          <w:szCs w:val="24"/>
        </w:rPr>
        <w:t xml:space="preserve"> </w:t>
      </w:r>
      <w:r w:rsidRPr="002C6BA8">
        <w:rPr>
          <w:sz w:val="24"/>
          <w:szCs w:val="24"/>
        </w:rPr>
        <w:t>Psychiatry</w:t>
      </w:r>
      <w:r>
        <w:rPr>
          <w:sz w:val="24"/>
          <w:szCs w:val="24"/>
        </w:rPr>
        <w:t>,</w:t>
      </w:r>
      <w:r w:rsidRPr="002C6BA8">
        <w:rPr>
          <w:spacing w:val="4"/>
          <w:sz w:val="24"/>
          <w:szCs w:val="24"/>
        </w:rPr>
        <w:t xml:space="preserve"> </w:t>
      </w:r>
      <w:r w:rsidRPr="002C6BA8">
        <w:rPr>
          <w:sz w:val="24"/>
          <w:szCs w:val="24"/>
        </w:rPr>
        <w:t>Board Certified Psychiatrist who is a member of ASA</w:t>
      </w:r>
      <w:r>
        <w:rPr>
          <w:sz w:val="24"/>
          <w:szCs w:val="24"/>
        </w:rPr>
        <w:t>M or experienced with addiction,</w:t>
      </w:r>
      <w:r w:rsidRPr="002C6BA8">
        <w:rPr>
          <w:sz w:val="24"/>
          <w:szCs w:val="24"/>
        </w:rPr>
        <w:t xml:space="preserve"> Board Eligible and A</w:t>
      </w:r>
      <w:r>
        <w:rPr>
          <w:sz w:val="24"/>
          <w:szCs w:val="24"/>
        </w:rPr>
        <w:t>SAM/ABAM Certified Psychiatrist,</w:t>
      </w:r>
      <w:r w:rsidRPr="002C6BA8">
        <w:rPr>
          <w:sz w:val="24"/>
          <w:szCs w:val="24"/>
        </w:rPr>
        <w:t xml:space="preserve"> MD or DO Board Eligible for Psychiatry with 5 years of addiction</w:t>
      </w:r>
      <w:r>
        <w:rPr>
          <w:sz w:val="24"/>
          <w:szCs w:val="24"/>
        </w:rPr>
        <w:t xml:space="preserve"> experience and ASAM membership,</w:t>
      </w:r>
      <w:r w:rsidRPr="002C6BA8">
        <w:rPr>
          <w:sz w:val="24"/>
          <w:szCs w:val="24"/>
        </w:rPr>
        <w:t xml:space="preserve"> ASAM/ABAM Certified MD or DO with 5 years of co-occurring men</w:t>
      </w:r>
      <w:r>
        <w:rPr>
          <w:sz w:val="24"/>
          <w:szCs w:val="24"/>
        </w:rPr>
        <w:t>tal health disorders experience,</w:t>
      </w:r>
      <w:r w:rsidRPr="002C6BA8">
        <w:rPr>
          <w:sz w:val="24"/>
          <w:szCs w:val="24"/>
        </w:rPr>
        <w:t xml:space="preserve"> Certified Nurse Practitioner-Psychiat</w:t>
      </w:r>
      <w:r>
        <w:rPr>
          <w:sz w:val="24"/>
          <w:szCs w:val="24"/>
        </w:rPr>
        <w:t>ric and Mental Health (CNP-PMH),</w:t>
      </w:r>
      <w:r w:rsidRPr="002C6BA8">
        <w:rPr>
          <w:sz w:val="24"/>
          <w:szCs w:val="24"/>
        </w:rPr>
        <w:t xml:space="preserve"> Advanced Practical Nurse-Psychiatric and Mental Health (APN-PMH), and Physician's Assistant (PA) w/Psychiatric</w:t>
      </w:r>
      <w:r w:rsidRPr="002C6BA8">
        <w:rPr>
          <w:spacing w:val="-3"/>
          <w:sz w:val="24"/>
          <w:szCs w:val="24"/>
        </w:rPr>
        <w:t xml:space="preserve"> </w:t>
      </w:r>
      <w:r w:rsidRPr="002C6BA8">
        <w:rPr>
          <w:sz w:val="24"/>
          <w:szCs w:val="24"/>
        </w:rPr>
        <w:t>and</w:t>
      </w:r>
      <w:r w:rsidRPr="002C6BA8">
        <w:rPr>
          <w:spacing w:val="-17"/>
          <w:sz w:val="24"/>
          <w:szCs w:val="24"/>
        </w:rPr>
        <w:t xml:space="preserve"> </w:t>
      </w:r>
      <w:r w:rsidRPr="002C6BA8">
        <w:rPr>
          <w:sz w:val="24"/>
          <w:szCs w:val="24"/>
        </w:rPr>
        <w:t>Mental</w:t>
      </w:r>
      <w:r w:rsidRPr="002C6BA8">
        <w:rPr>
          <w:spacing w:val="-24"/>
          <w:sz w:val="24"/>
          <w:szCs w:val="24"/>
        </w:rPr>
        <w:t xml:space="preserve"> </w:t>
      </w:r>
      <w:r w:rsidRPr="002C6BA8">
        <w:rPr>
          <w:sz w:val="24"/>
          <w:szCs w:val="24"/>
        </w:rPr>
        <w:t>Health</w:t>
      </w:r>
      <w:r w:rsidRPr="002C6BA8">
        <w:rPr>
          <w:spacing w:val="-24"/>
          <w:sz w:val="24"/>
          <w:szCs w:val="24"/>
        </w:rPr>
        <w:t xml:space="preserve"> </w:t>
      </w:r>
      <w:r w:rsidRPr="002C6BA8">
        <w:rPr>
          <w:sz w:val="24"/>
          <w:szCs w:val="24"/>
        </w:rPr>
        <w:t>certification.</w:t>
      </w:r>
    </w:p>
    <w:p w:rsidR="00880BF5" w:rsidRPr="00AE2C6C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 xml:space="preserve">A psychiatric evaluation can be provided as clinically warranted at any time throughout the course of a client’s treatment. </w:t>
      </w:r>
      <w:r w:rsidRPr="00AE2C6C">
        <w:rPr>
          <w:sz w:val="24"/>
          <w:szCs w:val="24"/>
          <w:u w:val="single"/>
        </w:rPr>
        <w:t xml:space="preserve">This service must be </w:t>
      </w:r>
      <w:r>
        <w:rPr>
          <w:sz w:val="24"/>
          <w:szCs w:val="24"/>
          <w:u w:val="single"/>
        </w:rPr>
        <w:t>preauthorized</w:t>
      </w:r>
      <w:r w:rsidRPr="00AE2C6C">
        <w:rPr>
          <w:sz w:val="24"/>
          <w:szCs w:val="24"/>
          <w:u w:val="single"/>
        </w:rPr>
        <w:t xml:space="preserve"> by the WFNJ SAI/BHI </w:t>
      </w:r>
      <w:r>
        <w:rPr>
          <w:sz w:val="24"/>
          <w:szCs w:val="24"/>
          <w:u w:val="single"/>
        </w:rPr>
        <w:t>C</w:t>
      </w:r>
      <w:r w:rsidR="00274C2B">
        <w:rPr>
          <w:sz w:val="24"/>
          <w:szCs w:val="24"/>
          <w:u w:val="single"/>
        </w:rPr>
        <w:t xml:space="preserve">are </w:t>
      </w:r>
      <w:r>
        <w:rPr>
          <w:sz w:val="24"/>
          <w:szCs w:val="24"/>
          <w:u w:val="single"/>
        </w:rPr>
        <w:t>C</w:t>
      </w:r>
      <w:r w:rsidR="00274C2B">
        <w:rPr>
          <w:sz w:val="24"/>
          <w:szCs w:val="24"/>
          <w:u w:val="single"/>
        </w:rPr>
        <w:t>oordinator</w:t>
      </w:r>
      <w:r w:rsidRPr="00AE2C6C">
        <w:rPr>
          <w:sz w:val="24"/>
          <w:szCs w:val="24"/>
          <w:u w:val="single"/>
        </w:rPr>
        <w:t xml:space="preserve"> (CC) for a total of</w:t>
      </w:r>
      <w:r>
        <w:rPr>
          <w:sz w:val="24"/>
          <w:szCs w:val="24"/>
          <w:u w:val="single"/>
        </w:rPr>
        <w:t xml:space="preserve"> ten (10) units of “psych</w:t>
      </w:r>
      <w:r w:rsidRPr="00AE2C6C">
        <w:rPr>
          <w:sz w:val="24"/>
          <w:szCs w:val="24"/>
          <w:u w:val="single"/>
        </w:rPr>
        <w:t xml:space="preserve"> testing</w:t>
      </w:r>
      <w:r>
        <w:rPr>
          <w:sz w:val="24"/>
          <w:szCs w:val="24"/>
          <w:u w:val="single"/>
        </w:rPr>
        <w:t>”</w:t>
      </w:r>
      <w:r w:rsidRPr="00AE2C6C">
        <w:rPr>
          <w:sz w:val="24"/>
          <w:szCs w:val="24"/>
          <w:u w:val="single"/>
        </w:rPr>
        <w:t xml:space="preserve"> (Z3356) per psychiatric evaluation. </w:t>
      </w:r>
      <w:r w:rsidRPr="00AE2C6C">
        <w:rPr>
          <w:sz w:val="24"/>
          <w:szCs w:val="24"/>
        </w:rPr>
        <w:t xml:space="preserve">  A follow-up consultation</w:t>
      </w:r>
      <w:r w:rsidRPr="002C6BA8">
        <w:rPr>
          <w:sz w:val="24"/>
          <w:szCs w:val="24"/>
        </w:rPr>
        <w:t xml:space="preserve"> with the psychiatrist may only be </w:t>
      </w:r>
      <w:r>
        <w:rPr>
          <w:sz w:val="24"/>
          <w:szCs w:val="24"/>
        </w:rPr>
        <w:t>preauthorized</w:t>
      </w:r>
      <w:r w:rsidRPr="002C6BA8">
        <w:rPr>
          <w:sz w:val="24"/>
          <w:szCs w:val="24"/>
        </w:rPr>
        <w:t xml:space="preserve"> if the Treatment Provider forwards to the CC a copy of the results of the psychiatric evaluation. For example,</w:t>
      </w:r>
      <w:r>
        <w:rPr>
          <w:sz w:val="24"/>
          <w:szCs w:val="24"/>
        </w:rPr>
        <w:t xml:space="preserve"> the CC may pre</w:t>
      </w:r>
      <w:r w:rsidRPr="002C6BA8">
        <w:rPr>
          <w:sz w:val="24"/>
          <w:szCs w:val="24"/>
        </w:rPr>
        <w:t>authorize a psychiatric evaluation without any documentation from the provider but cannot authorize a subsequent follow-up visit unless they have received documentation of the initial evaluation</w:t>
      </w:r>
      <w:r w:rsidRPr="00AE2C6C">
        <w:rPr>
          <w:sz w:val="24"/>
          <w:szCs w:val="24"/>
        </w:rPr>
        <w:t xml:space="preserve">. </w:t>
      </w:r>
    </w:p>
    <w:p w:rsidR="00880BF5" w:rsidRPr="002C6BA8" w:rsidRDefault="00880BF5" w:rsidP="00880BF5">
      <w:pPr>
        <w:rPr>
          <w:sz w:val="24"/>
          <w:szCs w:val="24"/>
        </w:rPr>
      </w:pPr>
      <w:r>
        <w:rPr>
          <w:bCs/>
          <w:sz w:val="24"/>
          <w:szCs w:val="24"/>
        </w:rPr>
        <w:t>CCs may preauthorize five (5) units of psych</w:t>
      </w:r>
      <w:r w:rsidRPr="00AE2C6C">
        <w:rPr>
          <w:bCs/>
          <w:sz w:val="24"/>
          <w:szCs w:val="24"/>
        </w:rPr>
        <w:t xml:space="preserve"> testing (Z3356)</w:t>
      </w:r>
      <w:r w:rsidR="00E23B73">
        <w:rPr>
          <w:bCs/>
          <w:sz w:val="24"/>
          <w:szCs w:val="24"/>
        </w:rPr>
        <w:t xml:space="preserve"> for subsequent medication </w:t>
      </w:r>
      <w:r w:rsidRPr="002C6BA8">
        <w:rPr>
          <w:bCs/>
          <w:sz w:val="24"/>
          <w:szCs w:val="24"/>
        </w:rPr>
        <w:t>monitoring visits with a psychiatrist or Advanced Psychiatric Nurse Practitioner for an additional 5 months</w:t>
      </w:r>
      <w:r w:rsidRPr="002C6BA8">
        <w:rPr>
          <w:sz w:val="24"/>
          <w:szCs w:val="24"/>
        </w:rPr>
        <w:t xml:space="preserve">, totaling 6 months of medication monitoring. Medication monitoring units may not be </w:t>
      </w:r>
      <w:r>
        <w:rPr>
          <w:sz w:val="24"/>
          <w:szCs w:val="24"/>
        </w:rPr>
        <w:t>preauthorized</w:t>
      </w:r>
      <w:r w:rsidRPr="002C6BA8">
        <w:rPr>
          <w:sz w:val="24"/>
          <w:szCs w:val="24"/>
        </w:rPr>
        <w:t xml:space="preserve"> in the same month as the original psychiatric evaluation.  </w:t>
      </w:r>
      <w:r w:rsidR="00274C2B">
        <w:rPr>
          <w:sz w:val="24"/>
          <w:szCs w:val="24"/>
          <w:u w:val="single"/>
        </w:rPr>
        <w:t xml:space="preserve">Subsequent medication </w:t>
      </w:r>
      <w:r w:rsidRPr="002C6BA8">
        <w:rPr>
          <w:sz w:val="24"/>
          <w:szCs w:val="24"/>
          <w:u w:val="single"/>
        </w:rPr>
        <w:t xml:space="preserve">monitoring cannot be </w:t>
      </w:r>
      <w:r>
        <w:rPr>
          <w:sz w:val="24"/>
          <w:szCs w:val="24"/>
          <w:u w:val="single"/>
        </w:rPr>
        <w:t>preauthorized</w:t>
      </w:r>
      <w:r w:rsidRPr="002C6BA8">
        <w:rPr>
          <w:sz w:val="24"/>
          <w:szCs w:val="24"/>
          <w:u w:val="single"/>
        </w:rPr>
        <w:t xml:space="preserve"> unless the CC has received documentation of the initial psychiatric evaluation and summarie</w:t>
      </w:r>
      <w:r w:rsidR="00274C2B">
        <w:rPr>
          <w:sz w:val="24"/>
          <w:szCs w:val="24"/>
          <w:u w:val="single"/>
        </w:rPr>
        <w:t xml:space="preserve">s of each subsequent medication </w:t>
      </w:r>
      <w:r w:rsidRPr="002C6BA8">
        <w:rPr>
          <w:sz w:val="24"/>
          <w:szCs w:val="24"/>
          <w:u w:val="single"/>
        </w:rPr>
        <w:t>monitoring visit</w:t>
      </w:r>
      <w:r w:rsidR="00274C2B">
        <w:rPr>
          <w:sz w:val="24"/>
          <w:szCs w:val="24"/>
          <w:u w:val="single"/>
        </w:rPr>
        <w:t>s</w:t>
      </w:r>
      <w:r w:rsidRPr="002C6BA8">
        <w:rPr>
          <w:sz w:val="24"/>
          <w:szCs w:val="24"/>
          <w:u w:val="single"/>
        </w:rPr>
        <w:t>.</w:t>
      </w:r>
      <w:r w:rsidRPr="002C6BA8">
        <w:rPr>
          <w:sz w:val="24"/>
          <w:szCs w:val="24"/>
        </w:rPr>
        <w:t xml:space="preserve"> Follow-up documentation should be in the form of a progress or service note as would appear in the client's chart.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>CCs may not approve m</w:t>
      </w:r>
      <w:r w:rsidR="001716BA">
        <w:rPr>
          <w:sz w:val="24"/>
          <w:szCs w:val="24"/>
        </w:rPr>
        <w:t xml:space="preserve">edication </w:t>
      </w:r>
      <w:r>
        <w:rPr>
          <w:sz w:val="24"/>
          <w:szCs w:val="24"/>
        </w:rPr>
        <w:t>monitoring sessions (5</w:t>
      </w:r>
      <w:r w:rsidRPr="002C6BA8">
        <w:rPr>
          <w:sz w:val="24"/>
          <w:szCs w:val="24"/>
        </w:rPr>
        <w:t xml:space="preserve"> units Z3356) beyond 5 months at the same level of care. If it is determined that a cli</w:t>
      </w:r>
      <w:r w:rsidR="00E23B73">
        <w:rPr>
          <w:sz w:val="24"/>
          <w:szCs w:val="24"/>
        </w:rPr>
        <w:t xml:space="preserve">ent will need medication </w:t>
      </w:r>
      <w:r w:rsidRPr="002C6BA8">
        <w:rPr>
          <w:sz w:val="24"/>
          <w:szCs w:val="24"/>
        </w:rPr>
        <w:t>monitoring beyond the initial 6 month period, at the same level of care, the CC may present the case to the WFNJ SAI/BHI Clinical Director for approval of additional sessions.  If t</w:t>
      </w:r>
      <w:r>
        <w:rPr>
          <w:sz w:val="24"/>
          <w:szCs w:val="24"/>
        </w:rPr>
        <w:t>he Clinical Director agrees</w:t>
      </w:r>
      <w:r w:rsidRPr="002C6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Pr="002C6BA8">
        <w:rPr>
          <w:sz w:val="24"/>
          <w:szCs w:val="24"/>
        </w:rPr>
        <w:t xml:space="preserve">the client will need continuing </w:t>
      </w:r>
      <w:r w:rsidR="001716BA" w:rsidRPr="002C6BA8">
        <w:rPr>
          <w:sz w:val="24"/>
          <w:szCs w:val="24"/>
        </w:rPr>
        <w:t>medication monitoring</w:t>
      </w:r>
      <w:r w:rsidRPr="002C6BA8">
        <w:rPr>
          <w:sz w:val="24"/>
          <w:szCs w:val="24"/>
        </w:rPr>
        <w:t xml:space="preserve"> the CC may </w:t>
      </w:r>
      <w:r>
        <w:rPr>
          <w:sz w:val="24"/>
          <w:szCs w:val="24"/>
        </w:rPr>
        <w:t>preauthorize one (1) unit of psych</w:t>
      </w:r>
      <w:r w:rsidRPr="002C6BA8">
        <w:rPr>
          <w:sz w:val="24"/>
          <w:szCs w:val="24"/>
        </w:rPr>
        <w:t xml:space="preserve"> testing (Z3356) for up to </w:t>
      </w:r>
      <w:r>
        <w:rPr>
          <w:sz w:val="24"/>
          <w:szCs w:val="24"/>
        </w:rPr>
        <w:t xml:space="preserve">an </w:t>
      </w:r>
      <w:r w:rsidRPr="002C6BA8">
        <w:rPr>
          <w:sz w:val="24"/>
          <w:szCs w:val="24"/>
        </w:rPr>
        <w:t>additional 6 months, as clinic</w:t>
      </w:r>
      <w:r w:rsidR="00E23B73">
        <w:rPr>
          <w:sz w:val="24"/>
          <w:szCs w:val="24"/>
        </w:rPr>
        <w:t xml:space="preserve">ally warranted.  The medication </w:t>
      </w:r>
      <w:bookmarkStart w:id="0" w:name="_GoBack"/>
      <w:bookmarkEnd w:id="0"/>
      <w:r w:rsidRPr="002C6BA8">
        <w:rPr>
          <w:sz w:val="24"/>
          <w:szCs w:val="24"/>
        </w:rPr>
        <w:t xml:space="preserve">monitoring visits </w:t>
      </w:r>
      <w:proofErr w:type="gramStart"/>
      <w:r w:rsidRPr="002C6BA8">
        <w:rPr>
          <w:sz w:val="24"/>
          <w:szCs w:val="24"/>
        </w:rPr>
        <w:t xml:space="preserve">cannot be </w:t>
      </w:r>
      <w:r>
        <w:rPr>
          <w:sz w:val="24"/>
          <w:szCs w:val="24"/>
        </w:rPr>
        <w:t>preauthorized</w:t>
      </w:r>
      <w:proofErr w:type="gramEnd"/>
      <w:r w:rsidRPr="002C6BA8">
        <w:rPr>
          <w:sz w:val="24"/>
          <w:szCs w:val="24"/>
        </w:rPr>
        <w:t xml:space="preserve"> unless the CC has received documentation of all </w:t>
      </w:r>
      <w:r w:rsidRPr="002C6BA8">
        <w:rPr>
          <w:sz w:val="24"/>
          <w:szCs w:val="24"/>
        </w:rPr>
        <w:lastRenderedPageBreak/>
        <w:t>previous medication-monitoring visits and documentation will be required for all subsequent medication-monitoring sessions.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 xml:space="preserve">In the event a client requires an emergency psychiatric evaluation during non-business hours and the provider is not able to contact the CC for </w:t>
      </w:r>
      <w:r w:rsidRPr="00B278F4">
        <w:rPr>
          <w:sz w:val="24"/>
          <w:szCs w:val="24"/>
        </w:rPr>
        <w:t>pre</w:t>
      </w:r>
      <w:r>
        <w:rPr>
          <w:sz w:val="24"/>
          <w:szCs w:val="24"/>
        </w:rPr>
        <w:t xml:space="preserve">authorization, </w:t>
      </w:r>
      <w:r w:rsidRPr="00B278F4">
        <w:rPr>
          <w:sz w:val="24"/>
          <w:szCs w:val="24"/>
        </w:rPr>
        <w:t>CCs</w:t>
      </w:r>
      <w:r w:rsidRPr="002C6BA8">
        <w:rPr>
          <w:sz w:val="24"/>
          <w:szCs w:val="24"/>
        </w:rPr>
        <w:t xml:space="preserve"> may retroactively </w:t>
      </w:r>
      <w:r>
        <w:rPr>
          <w:sz w:val="24"/>
          <w:szCs w:val="24"/>
        </w:rPr>
        <w:t>preauthorize</w:t>
      </w:r>
      <w:r w:rsidRPr="002C6BA8">
        <w:rPr>
          <w:sz w:val="24"/>
          <w:szCs w:val="24"/>
        </w:rPr>
        <w:t xml:space="preserve"> these services only if the treatment provider contacts the CC or supervisor within 24 hours of service provision and if all other requirements as described above are met.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 xml:space="preserve">Please also note </w:t>
      </w:r>
      <w:r>
        <w:rPr>
          <w:sz w:val="24"/>
          <w:szCs w:val="24"/>
        </w:rPr>
        <w:t>that providers who bill</w:t>
      </w:r>
      <w:r w:rsidRPr="002C6BA8">
        <w:rPr>
          <w:sz w:val="24"/>
          <w:szCs w:val="24"/>
        </w:rPr>
        <w:t xml:space="preserve"> for the above-named services based on a WFNJ SAI/BHI Payment Authorization (PA), may not also bill regular Medicaid for the same services.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>One (1) complete ps</w:t>
      </w:r>
      <w:r>
        <w:rPr>
          <w:sz w:val="24"/>
          <w:szCs w:val="24"/>
        </w:rPr>
        <w:t>ychiatric evaluation may be pre</w:t>
      </w:r>
      <w:r w:rsidRPr="002C6BA8">
        <w:rPr>
          <w:sz w:val="24"/>
          <w:szCs w:val="24"/>
        </w:rPr>
        <w:t xml:space="preserve">authorized for more profound co-occurring clients admitted to short-term residential treatment in the event that the severity of their psychiatric condition will prevent or inhibit their ability to participate in treatment. Not all co-occurring clients should be </w:t>
      </w:r>
      <w:r>
        <w:rPr>
          <w:sz w:val="24"/>
          <w:szCs w:val="24"/>
        </w:rPr>
        <w:t>preauthorized</w:t>
      </w:r>
      <w:r w:rsidRPr="002C6BA8">
        <w:rPr>
          <w:sz w:val="24"/>
          <w:szCs w:val="24"/>
        </w:rPr>
        <w:t xml:space="preserve"> for a psychiatric evaluation while in short-term residential treatment; this service is reserved strictly to assist those individuals whose mental health symptoms will impede treatment participation only. </w:t>
      </w:r>
    </w:p>
    <w:p w:rsidR="00880BF5" w:rsidRPr="002C6BA8" w:rsidRDefault="00880BF5" w:rsidP="00880BF5">
      <w:pPr>
        <w:rPr>
          <w:sz w:val="24"/>
          <w:szCs w:val="24"/>
        </w:rPr>
      </w:pPr>
      <w:r w:rsidRPr="002C6BA8">
        <w:rPr>
          <w:sz w:val="24"/>
          <w:szCs w:val="24"/>
        </w:rPr>
        <w:t xml:space="preserve">The WFNJ SAI/BHI may </w:t>
      </w:r>
      <w:r>
        <w:rPr>
          <w:sz w:val="24"/>
          <w:szCs w:val="24"/>
        </w:rPr>
        <w:t>authorize five (5) psych</w:t>
      </w:r>
      <w:r w:rsidRPr="002C6BA8">
        <w:rPr>
          <w:sz w:val="24"/>
          <w:szCs w:val="24"/>
        </w:rPr>
        <w:t xml:space="preserve"> testing units (Z3356) for medication monitoring to clients who are currently in short-term residential treatment and have already had one full psychiatric evaluation while in treatment at that level of care.  The CC must have received a copy of the psychiatric evaluation and the medication monitoring units must be </w:t>
      </w:r>
      <w:r>
        <w:rPr>
          <w:sz w:val="24"/>
          <w:szCs w:val="24"/>
        </w:rPr>
        <w:t>preauthorized</w:t>
      </w:r>
      <w:r w:rsidRPr="002C6BA8">
        <w:rPr>
          <w:sz w:val="24"/>
          <w:szCs w:val="24"/>
        </w:rPr>
        <w:t xml:space="preserve"> by the CC in order to ensure payment.  </w:t>
      </w:r>
      <w:r w:rsidRPr="002C6BA8">
        <w:rPr>
          <w:sz w:val="24"/>
          <w:szCs w:val="24"/>
          <w:u w:val="single"/>
        </w:rPr>
        <w:t>This service is reserved for those clients transferring to another residential treatment program in need of a 30-day supply of medication only</w:t>
      </w:r>
      <w:r w:rsidRPr="002C6BA8">
        <w:rPr>
          <w:sz w:val="24"/>
          <w:szCs w:val="24"/>
        </w:rPr>
        <w:t xml:space="preserve">. The purpose of this “medication bridge” is to assist clients facing lengthy waiting lists to see psychiatrists in most programs. </w:t>
      </w:r>
    </w:p>
    <w:p w:rsidR="00880BF5" w:rsidRPr="0038159A" w:rsidRDefault="00880BF5" w:rsidP="00880BF5">
      <w:pPr>
        <w:rPr>
          <w:b/>
          <w:sz w:val="24"/>
          <w:szCs w:val="24"/>
          <w:u w:val="single"/>
        </w:rPr>
      </w:pPr>
    </w:p>
    <w:sectPr w:rsidR="00880BF5" w:rsidRPr="0038159A" w:rsidSect="007544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0E" w:rsidRDefault="009F5F0E" w:rsidP="00CE5695">
      <w:pPr>
        <w:spacing w:after="0" w:line="240" w:lineRule="auto"/>
      </w:pPr>
      <w:r>
        <w:separator/>
      </w:r>
    </w:p>
  </w:endnote>
  <w:endnote w:type="continuationSeparator" w:id="0">
    <w:p w:rsidR="009F5F0E" w:rsidRDefault="009F5F0E" w:rsidP="00CE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95" w:rsidRPr="00CE5695" w:rsidRDefault="00CE5695" w:rsidP="00CE5695">
    <w:pPr>
      <w:pStyle w:val="Footer"/>
      <w:jc w:val="right"/>
      <w:rPr>
        <w:i/>
        <w:sz w:val="18"/>
        <w:szCs w:val="18"/>
      </w:rPr>
    </w:pPr>
    <w:r w:rsidRPr="00CE5695">
      <w:rPr>
        <w:i/>
        <w:sz w:val="18"/>
        <w:szCs w:val="18"/>
      </w:rPr>
      <w:t>NCA</w:t>
    </w:r>
    <w:r w:rsidR="00A452B1">
      <w:rPr>
        <w:i/>
        <w:sz w:val="18"/>
        <w:szCs w:val="18"/>
      </w:rPr>
      <w:t>DD-NJ WNFJ SAI/BHI July 2017</w:t>
    </w:r>
  </w:p>
  <w:p w:rsidR="00CE5695" w:rsidRDefault="00CE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0E" w:rsidRDefault="009F5F0E" w:rsidP="00CE5695">
      <w:pPr>
        <w:spacing w:after="0" w:line="240" w:lineRule="auto"/>
      </w:pPr>
      <w:r>
        <w:separator/>
      </w:r>
    </w:p>
  </w:footnote>
  <w:footnote w:type="continuationSeparator" w:id="0">
    <w:p w:rsidR="009F5F0E" w:rsidRDefault="009F5F0E" w:rsidP="00CE5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95"/>
    <w:rsid w:val="00061A0B"/>
    <w:rsid w:val="001716BA"/>
    <w:rsid w:val="002019AF"/>
    <w:rsid w:val="0024650C"/>
    <w:rsid w:val="00274C2B"/>
    <w:rsid w:val="0028580B"/>
    <w:rsid w:val="002D45FC"/>
    <w:rsid w:val="00375F25"/>
    <w:rsid w:val="003767D0"/>
    <w:rsid w:val="004D7C68"/>
    <w:rsid w:val="00573781"/>
    <w:rsid w:val="005D2FE1"/>
    <w:rsid w:val="005E107B"/>
    <w:rsid w:val="006901F2"/>
    <w:rsid w:val="006E7641"/>
    <w:rsid w:val="00754495"/>
    <w:rsid w:val="007D67AD"/>
    <w:rsid w:val="00812D56"/>
    <w:rsid w:val="00880BF5"/>
    <w:rsid w:val="009F5F0E"/>
    <w:rsid w:val="00A452B1"/>
    <w:rsid w:val="00AE25A9"/>
    <w:rsid w:val="00B03739"/>
    <w:rsid w:val="00BE13A9"/>
    <w:rsid w:val="00C0553D"/>
    <w:rsid w:val="00C761FD"/>
    <w:rsid w:val="00CA74D7"/>
    <w:rsid w:val="00CE5695"/>
    <w:rsid w:val="00DD2E0B"/>
    <w:rsid w:val="00E23B73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33CB"/>
  <w15:docId w15:val="{CA39A7DC-C679-41D4-8437-0953DF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95"/>
  </w:style>
  <w:style w:type="paragraph" w:styleId="Footer">
    <w:name w:val="footer"/>
    <w:basedOn w:val="Normal"/>
    <w:link w:val="FooterChar"/>
    <w:uiPriority w:val="99"/>
    <w:unhideWhenUsed/>
    <w:rsid w:val="00CE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95"/>
  </w:style>
  <w:style w:type="paragraph" w:styleId="BalloonText">
    <w:name w:val="Balloon Text"/>
    <w:basedOn w:val="Normal"/>
    <w:link w:val="BalloonTextChar"/>
    <w:uiPriority w:val="99"/>
    <w:semiHidden/>
    <w:unhideWhenUsed/>
    <w:rsid w:val="00CE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2</cp:revision>
  <cp:lastPrinted>2017-07-17T18:50:00Z</cp:lastPrinted>
  <dcterms:created xsi:type="dcterms:W3CDTF">2017-07-17T18:56:00Z</dcterms:created>
  <dcterms:modified xsi:type="dcterms:W3CDTF">2017-07-17T18:56:00Z</dcterms:modified>
</cp:coreProperties>
</file>